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AC96" w14:textId="77777777" w:rsidR="009B600A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C5CB0C8" w14:textId="77777777" w:rsidR="009B600A" w:rsidRPr="00736447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0AF6F500" w14:textId="5425B94C" w:rsidR="009B600A" w:rsidRPr="00736447" w:rsidRDefault="00284CB4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Foreign Consultants (Provisional Registration)</w:t>
      </w: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4096193B" w14:textId="54B7E007" w:rsidR="008B010E" w:rsidRPr="0093289C" w:rsidRDefault="008B010E" w:rsidP="008B0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</w:t>
      </w:r>
      <w:r w:rsidR="0094043B" w:rsidRPr="0093289C">
        <w:rPr>
          <w:rFonts w:cstheme="minorHAnsi"/>
          <w:sz w:val="20"/>
          <w:szCs w:val="20"/>
        </w:rPr>
        <w:t>e</w:t>
      </w:r>
      <w:r w:rsidRPr="0093289C">
        <w:rPr>
          <w:rFonts w:cstheme="minorHAnsi"/>
          <w:sz w:val="20"/>
          <w:szCs w:val="20"/>
        </w:rPr>
        <w:t xml:space="preserve"> Certificate of</w:t>
      </w:r>
      <w:r w:rsidR="00B61410"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</w:t>
      </w:r>
      <w:r w:rsidR="003655F1" w:rsidRPr="0093289C">
        <w:rPr>
          <w:rFonts w:cstheme="minorHAnsi"/>
          <w:sz w:val="20"/>
          <w:szCs w:val="20"/>
        </w:rPr>
        <w:t xml:space="preserve"> by the Construction Industry Development Board (CIDB)</w:t>
      </w:r>
      <w:r w:rsidRPr="0093289C">
        <w:rPr>
          <w:rFonts w:cstheme="minorHAnsi"/>
          <w:sz w:val="20"/>
          <w:szCs w:val="20"/>
        </w:rPr>
        <w:t xml:space="preserve">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005E75FD" w14:textId="77777777" w:rsidR="00D73F9A" w:rsidRPr="00C141D0" w:rsidRDefault="00D73F9A" w:rsidP="00D73F9A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5C996C9" w14:textId="77777777" w:rsidR="009B600A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05C673AA" w14:textId="6F5C90E5" w:rsidR="00FF29E4" w:rsidRDefault="00FF29E4" w:rsidP="00912E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This certificate of provisional registration is to be used for bidding purposes only.</w:t>
      </w:r>
    </w:p>
    <w:p w14:paraId="1C1854BC" w14:textId="2B518F46" w:rsidR="008F3C32" w:rsidRDefault="008F3C32" w:rsidP="008F3C3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provisional registration entitles the foreign consultant to bid for any project in the field of specialisation in respect of which this certificate is issued.</w:t>
      </w:r>
    </w:p>
    <w:p w14:paraId="3C7B9D49" w14:textId="77777777" w:rsidR="00912E22" w:rsidRPr="004929DC" w:rsidRDefault="00912E22" w:rsidP="00912E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>In case, following a bidding exercise for a project, the foreign consultant</w:t>
      </w:r>
      <w:r w:rsidRPr="004929DC">
        <w:rPr>
          <w:rFonts w:cstheme="minorHAnsi"/>
          <w:sz w:val="20"/>
          <w:szCs w:val="20"/>
        </w:rPr>
        <w:t xml:space="preserve"> has been awarded a contract for that project, he shall apply for and obtain temporary registration </w:t>
      </w:r>
      <w:r>
        <w:rPr>
          <w:rFonts w:cstheme="minorHAnsi"/>
          <w:sz w:val="20"/>
          <w:szCs w:val="20"/>
        </w:rPr>
        <w:t xml:space="preserve">from the CIDB </w:t>
      </w:r>
      <w:r w:rsidRPr="004929DC">
        <w:rPr>
          <w:rFonts w:cstheme="minorHAnsi"/>
          <w:sz w:val="20"/>
          <w:szCs w:val="20"/>
        </w:rPr>
        <w:t>before providing consultancy services for that project.</w:t>
      </w:r>
    </w:p>
    <w:p w14:paraId="1BBDE360" w14:textId="1BDF6649" w:rsidR="009B600A" w:rsidRPr="007F1D55" w:rsidRDefault="009B600A" w:rsidP="009B600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7F1D55">
        <w:rPr>
          <w:rFonts w:cstheme="minorHAnsi"/>
          <w:color w:val="000000" w:themeColor="text1"/>
          <w:sz w:val="20"/>
          <w:szCs w:val="20"/>
        </w:rPr>
        <w:t>Th</w:t>
      </w:r>
      <w:r w:rsidR="00912E22" w:rsidRPr="007F1D55">
        <w:rPr>
          <w:rFonts w:cstheme="minorHAnsi"/>
          <w:color w:val="000000" w:themeColor="text1"/>
          <w:sz w:val="20"/>
          <w:szCs w:val="20"/>
        </w:rPr>
        <w:t xml:space="preserve">is </w:t>
      </w:r>
      <w:r w:rsidRPr="007F1D55">
        <w:rPr>
          <w:rFonts w:cstheme="minorHAnsi"/>
          <w:color w:val="000000" w:themeColor="text1"/>
          <w:sz w:val="20"/>
          <w:szCs w:val="20"/>
        </w:rPr>
        <w:t xml:space="preserve">certificate of </w:t>
      </w:r>
      <w:r w:rsidR="00912E22" w:rsidRPr="007F1D55">
        <w:rPr>
          <w:rFonts w:cstheme="minorHAnsi"/>
          <w:color w:val="000000" w:themeColor="text1"/>
          <w:sz w:val="20"/>
          <w:szCs w:val="20"/>
        </w:rPr>
        <w:t>provisional registration is not transferable.</w:t>
      </w:r>
    </w:p>
    <w:p w14:paraId="5EC89345" w14:textId="77777777" w:rsidR="009B600A" w:rsidRPr="007F1D55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FC69D26" w14:textId="77777777" w:rsidR="009B600A" w:rsidRPr="007F1D55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Registration</w:t>
      </w:r>
    </w:p>
    <w:p w14:paraId="1187A7E7" w14:textId="034911F6" w:rsidR="009B600A" w:rsidRPr="007F1D55" w:rsidRDefault="009B600A" w:rsidP="00C4440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7F1D55">
        <w:rPr>
          <w:rFonts w:cstheme="minorHAnsi"/>
          <w:color w:val="000000" w:themeColor="text1"/>
          <w:sz w:val="20"/>
          <w:szCs w:val="20"/>
        </w:rPr>
        <w:t>Th</w:t>
      </w:r>
      <w:r w:rsidR="00912E22" w:rsidRPr="007F1D55">
        <w:rPr>
          <w:rFonts w:cstheme="minorHAnsi"/>
          <w:color w:val="000000" w:themeColor="text1"/>
          <w:sz w:val="20"/>
          <w:szCs w:val="20"/>
        </w:rPr>
        <w:t>is</w:t>
      </w:r>
      <w:r w:rsidRPr="007F1D55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certificate of </w:t>
      </w:r>
      <w:r w:rsidR="00C44408" w:rsidRPr="007F1D55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provisional </w:t>
      </w:r>
      <w:r w:rsidRPr="007F1D55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registration</w:t>
      </w:r>
      <w:r w:rsidR="00C44408" w:rsidRPr="007F1D55">
        <w:rPr>
          <w:rFonts w:cstheme="minorHAnsi"/>
          <w:color w:val="000000" w:themeColor="text1"/>
          <w:sz w:val="20"/>
          <w:szCs w:val="20"/>
        </w:rPr>
        <w:t xml:space="preserve"> is valid for a period of one </w:t>
      </w:r>
      <w:r w:rsidR="001E3060" w:rsidRPr="007F1D55">
        <w:rPr>
          <w:rFonts w:cstheme="minorHAnsi"/>
          <w:color w:val="000000" w:themeColor="text1"/>
          <w:sz w:val="20"/>
          <w:szCs w:val="20"/>
        </w:rPr>
        <w:t>year and</w:t>
      </w:r>
      <w:r w:rsidR="00C44408" w:rsidRPr="007F1D55">
        <w:rPr>
          <w:rFonts w:cstheme="minorHAnsi"/>
          <w:color w:val="000000" w:themeColor="text1"/>
          <w:sz w:val="20"/>
          <w:szCs w:val="20"/>
        </w:rPr>
        <w:t xml:space="preserve"> is not renewable.  </w:t>
      </w:r>
    </w:p>
    <w:p w14:paraId="580BA30D" w14:textId="61FE374D" w:rsidR="0022737A" w:rsidRDefault="0022737A" w:rsidP="0022737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9DA0424" w14:textId="77777777" w:rsidR="0022737A" w:rsidRPr="00EF59AF" w:rsidRDefault="0022737A" w:rsidP="002273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EF59AF">
        <w:rPr>
          <w:rFonts w:cstheme="minorHAnsi"/>
          <w:b/>
          <w:color w:val="002060"/>
          <w:sz w:val="20"/>
          <w:szCs w:val="20"/>
        </w:rPr>
        <w:t xml:space="preserve">Collaboration between Foreign </w:t>
      </w:r>
      <w:r>
        <w:rPr>
          <w:rFonts w:cstheme="minorHAnsi"/>
          <w:b/>
          <w:color w:val="002060"/>
          <w:sz w:val="20"/>
          <w:szCs w:val="20"/>
        </w:rPr>
        <w:t xml:space="preserve">Consultant </w:t>
      </w:r>
      <w:r w:rsidRPr="00EF59AF">
        <w:rPr>
          <w:rFonts w:cstheme="minorHAnsi"/>
          <w:b/>
          <w:color w:val="002060"/>
          <w:sz w:val="20"/>
          <w:szCs w:val="20"/>
        </w:rPr>
        <w:t>and Local Consultant</w:t>
      </w:r>
    </w:p>
    <w:p w14:paraId="7BDDA906" w14:textId="77777777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rFonts w:cstheme="minorHAnsi"/>
          <w:sz w:val="20"/>
          <w:szCs w:val="20"/>
        </w:rPr>
        <w:t xml:space="preserve">Pursuant to section 20(1) of the CIDB Act, </w:t>
      </w:r>
      <w:r w:rsidRPr="00EF59AF">
        <w:rPr>
          <w:sz w:val="20"/>
          <w:szCs w:val="20"/>
        </w:rPr>
        <w:t>no foreign consultant shall provide consultancy services in a field of specialisation unless it:</w:t>
      </w:r>
    </w:p>
    <w:p w14:paraId="01AA441E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rFonts w:cstheme="minorHAnsi"/>
          <w:sz w:val="20"/>
          <w:szCs w:val="20"/>
        </w:rPr>
        <w:t>collaborates</w:t>
      </w:r>
      <w:r w:rsidRPr="00EF59AF">
        <w:rPr>
          <w:sz w:val="20"/>
          <w:szCs w:val="20"/>
        </w:rPr>
        <w:t xml:space="preserve"> with a local consultant providing consultancy services in that field of specialisation; and </w:t>
      </w:r>
    </w:p>
    <w:p w14:paraId="7C03ECF7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is temporarily registered under the Act.</w:t>
      </w:r>
    </w:p>
    <w:p w14:paraId="3FCDC02B" w14:textId="1863672A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For the purpose of collaboration</w:t>
      </w:r>
      <w:r>
        <w:rPr>
          <w:sz w:val="20"/>
          <w:szCs w:val="20"/>
        </w:rPr>
        <w:t>,</w:t>
      </w:r>
      <w:r w:rsidRPr="00EF59AF">
        <w:rPr>
          <w:sz w:val="20"/>
          <w:szCs w:val="20"/>
        </w:rPr>
        <w:t xml:space="preserve"> “local consultant” means a firm which</w:t>
      </w:r>
      <w:r>
        <w:rPr>
          <w:sz w:val="20"/>
          <w:szCs w:val="20"/>
        </w:rPr>
        <w:t>:</w:t>
      </w:r>
    </w:p>
    <w:p w14:paraId="5351F967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 xml:space="preserve">is registered as a consultant under section 19 of the Act; and </w:t>
      </w:r>
    </w:p>
    <w:p w14:paraId="0AD9BEB6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has provided consultancy services in the construction industry for at least 5 years</w:t>
      </w:r>
      <w:r>
        <w:rPr>
          <w:sz w:val="20"/>
          <w:szCs w:val="20"/>
        </w:rPr>
        <w:t>.</w:t>
      </w:r>
    </w:p>
    <w:p w14:paraId="6F262409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sz w:val="20"/>
          <w:szCs w:val="20"/>
        </w:rPr>
        <w:t>The form of collaboration between a foreign consultant and a local consultant shall be a joint venture agreement, a sub-consultancy agreement or</w:t>
      </w:r>
      <w:r w:rsidRPr="00D73F9A">
        <w:rPr>
          <w:sz w:val="20"/>
          <w:szCs w:val="20"/>
        </w:rPr>
        <w:t xml:space="preserve"> any other form of agreement between the consultants. </w:t>
      </w:r>
    </w:p>
    <w:p w14:paraId="58AA3CF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The conditions of the collaboration agreement between a foreign consultant and a local consultant shall be based on their experience, capability, respective input in delivering the project, and the requirements of the project concerned. </w:t>
      </w:r>
    </w:p>
    <w:p w14:paraId="54FF9166" w14:textId="1A29154E" w:rsidR="0022737A" w:rsidRDefault="0022737A" w:rsidP="0022737A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(a) </w:t>
      </w:r>
      <w:r>
        <w:rPr>
          <w:sz w:val="20"/>
          <w:szCs w:val="20"/>
        </w:rPr>
        <w:tab/>
      </w:r>
      <w:r w:rsidR="00AE38CD">
        <w:rPr>
          <w:sz w:val="20"/>
          <w:szCs w:val="20"/>
        </w:rPr>
        <w:t>T</w:t>
      </w:r>
      <w:r w:rsidRPr="00D73F9A">
        <w:rPr>
          <w:sz w:val="20"/>
          <w:szCs w:val="20"/>
        </w:rPr>
        <w:t xml:space="preserve">he apportioning of the consultancy fee between a foreign consultant and a local consultant shall </w:t>
      </w:r>
      <w:r w:rsidR="00AE38CD">
        <w:rPr>
          <w:sz w:val="20"/>
          <w:szCs w:val="20"/>
        </w:rPr>
        <w:tab/>
      </w:r>
      <w:r w:rsidRPr="00D73F9A">
        <w:rPr>
          <w:sz w:val="20"/>
          <w:szCs w:val="20"/>
        </w:rPr>
        <w:t xml:space="preserve">be commensurate with the services to be provided by each consultant. </w:t>
      </w:r>
    </w:p>
    <w:p w14:paraId="6B79D4C3" w14:textId="60FA6181" w:rsidR="0022737A" w:rsidRDefault="0022737A" w:rsidP="0022737A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(b) </w:t>
      </w:r>
      <w:r>
        <w:rPr>
          <w:sz w:val="20"/>
          <w:szCs w:val="20"/>
        </w:rPr>
        <w:tab/>
      </w:r>
      <w:r w:rsidRPr="00D73F9A">
        <w:rPr>
          <w:sz w:val="20"/>
          <w:szCs w:val="20"/>
        </w:rPr>
        <w:t xml:space="preserve">A local consultant’s share of the consultancy fee shall be based on the apportioning of tasks or </w:t>
      </w:r>
      <w:r>
        <w:rPr>
          <w:sz w:val="20"/>
          <w:szCs w:val="20"/>
        </w:rPr>
        <w:tab/>
      </w:r>
      <w:r w:rsidRPr="00D73F9A">
        <w:rPr>
          <w:sz w:val="20"/>
          <w:szCs w:val="20"/>
        </w:rPr>
        <w:t>input but shall</w:t>
      </w:r>
      <w:r w:rsidR="00AE38CD">
        <w:rPr>
          <w:sz w:val="20"/>
          <w:szCs w:val="20"/>
        </w:rPr>
        <w:t xml:space="preserve">, </w:t>
      </w:r>
      <w:r w:rsidRPr="00D73F9A">
        <w:rPr>
          <w:sz w:val="20"/>
          <w:szCs w:val="20"/>
        </w:rPr>
        <w:t xml:space="preserve"> not be less than 25 per cent of the total consultancy fee payable. </w:t>
      </w:r>
    </w:p>
    <w:p w14:paraId="3BE42D75" w14:textId="77777777" w:rsidR="0022737A" w:rsidRPr="00D73F9A" w:rsidRDefault="0022737A" w:rsidP="0022737A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(c) </w:t>
      </w:r>
      <w:r>
        <w:rPr>
          <w:sz w:val="20"/>
          <w:szCs w:val="20"/>
        </w:rPr>
        <w:tab/>
      </w:r>
      <w:r w:rsidRPr="00D73F9A">
        <w:rPr>
          <w:sz w:val="20"/>
          <w:szCs w:val="20"/>
        </w:rPr>
        <w:t xml:space="preserve">The requirement for the payment of at least 25 per cent of the total consultancy fee shall only </w:t>
      </w:r>
      <w:r>
        <w:rPr>
          <w:sz w:val="20"/>
          <w:szCs w:val="20"/>
        </w:rPr>
        <w:tab/>
      </w:r>
      <w:r w:rsidRPr="00D73F9A">
        <w:rPr>
          <w:sz w:val="20"/>
          <w:szCs w:val="20"/>
        </w:rPr>
        <w:t xml:space="preserve">apply to a local consultant which provides architectural, engineering or quantity surveying </w:t>
      </w:r>
      <w:r>
        <w:rPr>
          <w:sz w:val="20"/>
          <w:szCs w:val="20"/>
        </w:rPr>
        <w:tab/>
      </w:r>
      <w:r w:rsidRPr="00D73F9A">
        <w:rPr>
          <w:sz w:val="20"/>
          <w:szCs w:val="20"/>
        </w:rPr>
        <w:t xml:space="preserve">services, as the case may be. </w:t>
      </w:r>
    </w:p>
    <w:p w14:paraId="061B702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Where no local consultant has the necessary experience or expertise in a field of specialisation, the requirement for collaboration shall not be applicable and a foreign consultant may provide consultancy services without collaborating with a local consultant. </w:t>
      </w:r>
    </w:p>
    <w:p w14:paraId="29B6E522" w14:textId="77777777" w:rsidR="0022737A" w:rsidRPr="004439A8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Nothing shall preclude a foreign consultant providing consultancy services in a field of specialisation to collaborate, in addition to the requirement of collaborating with a local consultant providing </w:t>
      </w:r>
      <w:r w:rsidRPr="004439A8">
        <w:rPr>
          <w:sz w:val="20"/>
          <w:szCs w:val="20"/>
        </w:rPr>
        <w:t>consultancy services in that field of specialisation, with another consultant registered under section 19 of the CIDB Act.</w:t>
      </w:r>
    </w:p>
    <w:p w14:paraId="38F7111A" w14:textId="77777777" w:rsidR="0022737A" w:rsidRPr="004439A8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439A8">
        <w:rPr>
          <w:sz w:val="20"/>
          <w:szCs w:val="20"/>
        </w:rPr>
        <w:t xml:space="preserve">Any person who contravenes </w:t>
      </w:r>
      <w:r>
        <w:rPr>
          <w:sz w:val="20"/>
          <w:szCs w:val="20"/>
        </w:rPr>
        <w:t>t</w:t>
      </w:r>
      <w:r w:rsidRPr="004439A8">
        <w:rPr>
          <w:sz w:val="20"/>
          <w:szCs w:val="20"/>
        </w:rPr>
        <w:t>he Construction Industry Development Board (Collaboration between Foreign and Local Consultants) Regulations 2021</w:t>
      </w:r>
      <w:r>
        <w:rPr>
          <w:sz w:val="20"/>
          <w:szCs w:val="20"/>
        </w:rPr>
        <w:t xml:space="preserve"> </w:t>
      </w:r>
      <w:r w:rsidRPr="004439A8">
        <w:rPr>
          <w:sz w:val="20"/>
          <w:szCs w:val="20"/>
        </w:rPr>
        <w:t>shall commit an offence and shall, on conviction, be liable to a fine not exceeding 500,000 rupees and to imprisonment for a term not exceeding 3 years</w:t>
      </w:r>
    </w:p>
    <w:p w14:paraId="1C410E61" w14:textId="234E6E1F" w:rsidR="009B600A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3195744" w14:textId="77777777" w:rsidR="002B4A40" w:rsidRPr="00090D26" w:rsidRDefault="002B4A40" w:rsidP="002B4A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2E35D187" w14:textId="77777777" w:rsidR="002B4A40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</w:t>
      </w:r>
      <w:r w:rsidRPr="008D54B0">
        <w:rPr>
          <w:rFonts w:cstheme="minorHAnsi"/>
          <w:sz w:val="20"/>
          <w:szCs w:val="20"/>
        </w:rPr>
        <w:t>consultant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61B3EB67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4E5AB392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Where a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8D54B0">
        <w:rPr>
          <w:rFonts w:cstheme="minorHAnsi"/>
          <w:sz w:val="20"/>
          <w:szCs w:val="20"/>
        </w:rPr>
        <w:t>consultant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1788C19A" w14:textId="77777777" w:rsidR="002B4A40" w:rsidRDefault="002B4A40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lastRenderedPageBreak/>
        <w:t>Change in Information</w:t>
      </w:r>
    </w:p>
    <w:p w14:paraId="4B02B106" w14:textId="0FBF4D19" w:rsidR="008D43A7" w:rsidRPr="008D54B0" w:rsidRDefault="008D43A7" w:rsidP="005C04C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>Where there is any change in the information provided at the time of application for registration as consultant</w:t>
      </w:r>
      <w:r w:rsidR="00AC401C">
        <w:rPr>
          <w:rFonts w:cstheme="minorHAnsi"/>
          <w:sz w:val="20"/>
          <w:szCs w:val="20"/>
        </w:rPr>
        <w:t xml:space="preserve">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 xml:space="preserve">registered </w:t>
      </w:r>
      <w:bookmarkStart w:id="0" w:name="_Hlk84770624"/>
      <w:r w:rsidR="00AC401C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bookmarkEnd w:id="0"/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6CD7C156" w:rsidR="008D43A7" w:rsidRPr="00692F67" w:rsidRDefault="008D43A7" w:rsidP="005C04C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 w:rsidRPr="008D54B0">
        <w:rPr>
          <w:rFonts w:cstheme="minorHAnsi"/>
          <w:sz w:val="20"/>
          <w:szCs w:val="20"/>
        </w:rPr>
        <w:t>consultant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613622">
        <w:rPr>
          <w:rFonts w:cstheme="minorHAnsi"/>
          <w:bCs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1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1"/>
    <w:p w14:paraId="08BD61A3" w14:textId="4E44379A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394DF0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394DF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443AEAC5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285ED85D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6A0EA2">
        <w:rPr>
          <w:rFonts w:cstheme="minorHAnsi"/>
          <w:color w:val="000000" w:themeColor="text1"/>
          <w:sz w:val="20"/>
          <w:szCs w:val="20"/>
        </w:rPr>
        <w:t xml:space="preserve">the </w:t>
      </w:r>
      <w:r w:rsidR="006A0EA2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to furnish, in such form and manner and within such time as may be specified, such information relating to that matter as may be required; </w:t>
      </w:r>
    </w:p>
    <w:p w14:paraId="3CC34F60" w14:textId="48A92238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6A0EA2" w:rsidRPr="006A0EA2">
        <w:rPr>
          <w:rFonts w:cstheme="minorHAnsi"/>
          <w:sz w:val="20"/>
          <w:szCs w:val="20"/>
          <w:lang w:val="en-GB"/>
        </w:rPr>
        <w:t>the consultant</w:t>
      </w:r>
      <w:r w:rsidRPr="00F2533D">
        <w:rPr>
          <w:rFonts w:cstheme="minorHAnsi"/>
          <w:sz w:val="20"/>
          <w:szCs w:val="20"/>
        </w:rPr>
        <w:t xml:space="preserve">, require </w:t>
      </w:r>
      <w:r w:rsidR="006A0EA2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601369B2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F16AC0">
        <w:rPr>
          <w:rFonts w:cstheme="minorHAnsi"/>
          <w:color w:val="000000" w:themeColor="text1"/>
          <w:sz w:val="20"/>
          <w:szCs w:val="20"/>
        </w:rPr>
        <w:t xml:space="preserve">the </w:t>
      </w:r>
      <w:r w:rsidR="00F16AC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366491">
        <w:rPr>
          <w:rFonts w:cstheme="minorHAnsi"/>
          <w:sz w:val="20"/>
          <w:szCs w:val="20"/>
        </w:rPr>
        <w:t>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Authorised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2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2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387DF5BC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Any person who obstructs, hinders, opposes or molests, or fails without reasonable excuse to comply with a requirement or direction of, an Authorised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314516AD" w14:textId="77777777" w:rsidR="00386236" w:rsidRPr="00386236" w:rsidRDefault="00386236" w:rsidP="00386236">
      <w:pPr>
        <w:pStyle w:val="ListParagraph"/>
        <w:rPr>
          <w:rFonts w:cstheme="minorHAnsi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73612BAB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1A1105C0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1A165BC3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lastRenderedPageBreak/>
        <w:t xml:space="preserve">the </w:t>
      </w:r>
      <w:r w:rsidR="006D340F" w:rsidRPr="005177B0">
        <w:rPr>
          <w:rFonts w:cstheme="minorHAnsi"/>
          <w:sz w:val="20"/>
          <w:szCs w:val="20"/>
        </w:rPr>
        <w:t>consultant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15C470D5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consultant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appears on the ineligibility lists of African Development Bank, Asian Development Bank, European Bank for Reconstruction and Development, Inter-American Development Bank Group or World Bank Group, or such other organisation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21DD792A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7D0374">
        <w:rPr>
          <w:rFonts w:cstheme="minorHAnsi"/>
          <w:sz w:val="20"/>
          <w:szCs w:val="20"/>
        </w:rPr>
        <w:t>the</w:t>
      </w:r>
      <w:r w:rsidRPr="00E97840">
        <w:rPr>
          <w:rFonts w:cstheme="minorHAnsi"/>
          <w:sz w:val="20"/>
          <w:szCs w:val="20"/>
        </w:rPr>
        <w:t xml:space="preserve"> consultancy firm has been found guilty of professional misconduct by a recognised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2E0D04" w:rsidRDefault="004F7B84" w:rsidP="00E97840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</w:p>
    <w:p w14:paraId="73173522" w14:textId="6E096F1C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consultant</w:t>
      </w:r>
      <w:r w:rsidR="00137DAC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137DAC">
        <w:rPr>
          <w:rFonts w:cstheme="minorHAnsi"/>
          <w:sz w:val="20"/>
          <w:szCs w:val="20"/>
        </w:rPr>
        <w:t>the consultant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Pr="002E0D04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C5E57A4" w14:textId="2F53B46C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consultant</w:t>
      </w:r>
      <w:r w:rsidR="00F5440D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12F1F2B9" w14:textId="77777777" w:rsidR="004E0AEB" w:rsidRPr="002E0D04" w:rsidRDefault="004E0AEB" w:rsidP="00E97840">
      <w:pPr>
        <w:pStyle w:val="ListParagraph"/>
        <w:jc w:val="both"/>
        <w:rPr>
          <w:rFonts w:cstheme="minorHAnsi"/>
          <w:sz w:val="16"/>
          <w:szCs w:val="16"/>
        </w:rPr>
      </w:pPr>
    </w:p>
    <w:p w14:paraId="750F2325" w14:textId="071ED96B" w:rsidR="00E97840" w:rsidRDefault="00AD092F" w:rsidP="00A73C7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 xml:space="preserve">any </w:t>
      </w:r>
      <w:r w:rsidR="00152CD3" w:rsidRPr="00A73C73">
        <w:rPr>
          <w:rFonts w:cstheme="minorHAnsi"/>
          <w:sz w:val="20"/>
          <w:szCs w:val="20"/>
        </w:rPr>
        <w:t>consultant</w:t>
      </w:r>
      <w:r w:rsidR="006223B5" w:rsidRP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A73C73">
        <w:rPr>
          <w:rFonts w:cstheme="minorHAnsi"/>
          <w:sz w:val="20"/>
          <w:szCs w:val="20"/>
        </w:rPr>
        <w:t>IDB</w:t>
      </w:r>
      <w:r w:rsidR="00E97840" w:rsidRPr="00A73C73">
        <w:rPr>
          <w:rFonts w:cstheme="minorHAnsi"/>
          <w:sz w:val="20"/>
          <w:szCs w:val="20"/>
        </w:rPr>
        <w:t>, material for the grant of its application for registration.</w:t>
      </w:r>
    </w:p>
    <w:p w14:paraId="7CA377B7" w14:textId="77777777" w:rsidR="00CD5678" w:rsidRPr="002E0D04" w:rsidRDefault="00CD5678" w:rsidP="00CD5678">
      <w:pPr>
        <w:pStyle w:val="ListParagraph"/>
        <w:rPr>
          <w:rFonts w:cstheme="minorHAnsi"/>
          <w:sz w:val="16"/>
          <w:szCs w:val="16"/>
        </w:rPr>
      </w:pPr>
    </w:p>
    <w:p w14:paraId="60C441D1" w14:textId="3FAAAC9D" w:rsidR="00E97840" w:rsidRPr="00CD5678" w:rsidRDefault="009E0243" w:rsidP="00CD567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D5678">
        <w:rPr>
          <w:rFonts w:cstheme="minorHAnsi"/>
          <w:sz w:val="20"/>
          <w:szCs w:val="20"/>
        </w:rPr>
        <w:t>Pursuant to subsection 23(5) of the CIDB Act, t</w:t>
      </w:r>
      <w:r w:rsidR="00E97840" w:rsidRPr="00CD5678">
        <w:rPr>
          <w:rFonts w:cstheme="minorHAnsi"/>
          <w:sz w:val="20"/>
          <w:szCs w:val="20"/>
        </w:rPr>
        <w:t>he C</w:t>
      </w:r>
      <w:r w:rsidR="00185F88" w:rsidRPr="00CD5678">
        <w:rPr>
          <w:rFonts w:cstheme="minorHAnsi"/>
          <w:sz w:val="20"/>
          <w:szCs w:val="20"/>
        </w:rPr>
        <w:t>IDB</w:t>
      </w:r>
      <w:r w:rsidR="00E97840" w:rsidRPr="00CD5678">
        <w:rPr>
          <w:rFonts w:cstheme="minorHAnsi"/>
          <w:sz w:val="20"/>
          <w:szCs w:val="20"/>
        </w:rPr>
        <w:t xml:space="preserve"> shall inform the </w:t>
      </w:r>
      <w:r w:rsidR="00152CD3" w:rsidRPr="00CD5678">
        <w:rPr>
          <w:rFonts w:cstheme="minorHAnsi"/>
          <w:sz w:val="20"/>
          <w:szCs w:val="20"/>
        </w:rPr>
        <w:t>consultant</w:t>
      </w:r>
      <w:r w:rsidR="0083610B" w:rsidRPr="00CD5678">
        <w:rPr>
          <w:rFonts w:cstheme="minorHAnsi"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 xml:space="preserve">of its decision under subsection </w:t>
      </w:r>
      <w:r w:rsidR="00185F88"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 xml:space="preserve">(1),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(3)</w:t>
      </w:r>
      <w:r w:rsidR="00E97840" w:rsidRPr="00CD5678">
        <w:rPr>
          <w:rFonts w:cstheme="minorHAnsi"/>
          <w:b/>
          <w:sz w:val="20"/>
          <w:szCs w:val="20"/>
        </w:rPr>
        <w:t xml:space="preserve">, </w:t>
      </w:r>
      <w:r w:rsidR="00E97840" w:rsidRPr="00CD5678">
        <w:rPr>
          <w:rFonts w:cstheme="minorHAnsi"/>
          <w:sz w:val="20"/>
          <w:szCs w:val="20"/>
        </w:rPr>
        <w:t xml:space="preserve">or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(4)(b) within 7</w:t>
      </w:r>
      <w:r w:rsidR="00E97840" w:rsidRPr="00CD5678">
        <w:rPr>
          <w:rFonts w:cstheme="minorHAnsi"/>
          <w:b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Pr="002E0D04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41DE709" w14:textId="30EFC00C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consultant</w:t>
      </w:r>
      <w:r w:rsidR="0083610B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221AD3D3" w:rsidR="00CC7F7E" w:rsidRDefault="00E76CA5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3643D4A3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E76CA5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E76CA5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46E23A8F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6FED628D" w14:textId="00EABCED" w:rsidR="002C2672" w:rsidRDefault="002C2672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85E93C2" w14:textId="77777777" w:rsidR="002C2672" w:rsidRPr="00E91070" w:rsidRDefault="002C2672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F575423" w14:textId="65404507" w:rsidR="002C2672" w:rsidRPr="002C2672" w:rsidRDefault="00812EBB" w:rsidP="002C2672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 xml:space="preserve">Registration of </w:t>
      </w:r>
      <w:r w:rsidR="002C2672">
        <w:rPr>
          <w:rFonts w:cstheme="minorHAnsi"/>
          <w:b/>
          <w:color w:val="002060"/>
          <w:sz w:val="20"/>
          <w:szCs w:val="20"/>
        </w:rPr>
        <w:t>Construction Industry Professionals</w:t>
      </w:r>
    </w:p>
    <w:p w14:paraId="52939658" w14:textId="4789DCB1" w:rsidR="00843AA7" w:rsidRDefault="00843AA7" w:rsidP="00843AA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>In case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color w:val="000000" w:themeColor="text1"/>
          <w:sz w:val="20"/>
          <w:szCs w:val="20"/>
        </w:rPr>
        <w:t>the foreign consultant</w:t>
      </w:r>
      <w:r w:rsidRPr="004929DC">
        <w:rPr>
          <w:rFonts w:cstheme="minorHAnsi"/>
          <w:sz w:val="20"/>
          <w:szCs w:val="20"/>
        </w:rPr>
        <w:t xml:space="preserve"> has been awarded a contract for </w:t>
      </w:r>
      <w:r>
        <w:rPr>
          <w:rFonts w:cstheme="minorHAnsi"/>
          <w:sz w:val="20"/>
          <w:szCs w:val="20"/>
        </w:rPr>
        <w:t>a</w:t>
      </w:r>
      <w:r w:rsidRPr="004929DC">
        <w:rPr>
          <w:rFonts w:cstheme="minorHAnsi"/>
          <w:sz w:val="20"/>
          <w:szCs w:val="20"/>
        </w:rPr>
        <w:t xml:space="preserve"> project</w:t>
      </w:r>
      <w:r>
        <w:rPr>
          <w:rFonts w:cstheme="minorHAnsi"/>
          <w:sz w:val="20"/>
          <w:szCs w:val="20"/>
        </w:rPr>
        <w:t xml:space="preserve">, then </w:t>
      </w:r>
      <w:r w:rsidRPr="004929DC">
        <w:rPr>
          <w:rFonts w:cstheme="minorHAnsi"/>
          <w:sz w:val="20"/>
          <w:szCs w:val="20"/>
        </w:rPr>
        <w:t>before providing consultancy services for that project</w:t>
      </w:r>
      <w:r w:rsidR="0045695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that consultant </w:t>
      </w:r>
      <w:r>
        <w:rPr>
          <w:rFonts w:cstheme="minorHAnsi"/>
          <w:bCs/>
          <w:color w:val="000000" w:themeColor="text1"/>
          <w:sz w:val="20"/>
          <w:szCs w:val="20"/>
        </w:rPr>
        <w:t>shall ensure that the construction industry professionals</w:t>
      </w:r>
      <w:r w:rsidR="007B30DD">
        <w:rPr>
          <w:rFonts w:cstheme="minorHAnsi"/>
          <w:bCs/>
          <w:color w:val="000000" w:themeColor="text1"/>
          <w:sz w:val="20"/>
          <w:szCs w:val="20"/>
        </w:rPr>
        <w:t>,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7B30DD">
        <w:rPr>
          <w:rFonts w:cstheme="minorHAnsi"/>
          <w:bCs/>
          <w:color w:val="000000" w:themeColor="text1"/>
          <w:sz w:val="20"/>
          <w:szCs w:val="20"/>
        </w:rPr>
        <w:t>deployed by it on that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project</w:t>
      </w:r>
      <w:r w:rsidR="007B30DD">
        <w:rPr>
          <w:rFonts w:cstheme="minorHAnsi"/>
          <w:bCs/>
          <w:color w:val="000000" w:themeColor="text1"/>
          <w:sz w:val="20"/>
          <w:szCs w:val="20"/>
        </w:rPr>
        <w:t>,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are duly registered with their respective Councils in Mauritius</w:t>
      </w:r>
      <w:r w:rsidR="0045695E">
        <w:rPr>
          <w:rFonts w:cstheme="minorHAnsi"/>
          <w:bCs/>
          <w:color w:val="000000" w:themeColor="text1"/>
          <w:sz w:val="20"/>
          <w:szCs w:val="20"/>
        </w:rPr>
        <w:t>.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08EBC6FA" w14:textId="77777777" w:rsidR="00843AA7" w:rsidRDefault="00843AA7" w:rsidP="00843AA7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3822EC3" w14:textId="3578998A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F482" w14:textId="77777777" w:rsidR="00D83318" w:rsidRDefault="00D83318" w:rsidP="00C6627D">
      <w:pPr>
        <w:spacing w:after="0" w:line="240" w:lineRule="auto"/>
      </w:pPr>
      <w:r>
        <w:separator/>
      </w:r>
    </w:p>
  </w:endnote>
  <w:endnote w:type="continuationSeparator" w:id="0">
    <w:p w14:paraId="64DCC565" w14:textId="77777777" w:rsidR="00D83318" w:rsidRDefault="00D83318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97A1" w14:textId="77777777" w:rsidR="00D83318" w:rsidRDefault="00D83318" w:rsidP="00C6627D">
      <w:pPr>
        <w:spacing w:after="0" w:line="240" w:lineRule="auto"/>
      </w:pPr>
      <w:r>
        <w:separator/>
      </w:r>
    </w:p>
  </w:footnote>
  <w:footnote w:type="continuationSeparator" w:id="0">
    <w:p w14:paraId="43AD5745" w14:textId="77777777" w:rsidR="00D83318" w:rsidRDefault="00D83318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D83318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D83318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51A22"/>
    <w:multiLevelType w:val="hybridMultilevel"/>
    <w:tmpl w:val="1A3CCE0A"/>
    <w:lvl w:ilvl="0" w:tplc="D5466E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E0EF2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02C6"/>
    <w:multiLevelType w:val="singleLevel"/>
    <w:tmpl w:val="E17E44D2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</w:abstractNum>
  <w:abstractNum w:abstractNumId="7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2C30CB"/>
    <w:multiLevelType w:val="hybridMultilevel"/>
    <w:tmpl w:val="711481A4"/>
    <w:lvl w:ilvl="0" w:tplc="F18C4B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E00E34"/>
    <w:multiLevelType w:val="hybridMultilevel"/>
    <w:tmpl w:val="711481A4"/>
    <w:lvl w:ilvl="0" w:tplc="F18C4B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2198"/>
    <w:multiLevelType w:val="hybridMultilevel"/>
    <w:tmpl w:val="840E983C"/>
    <w:lvl w:ilvl="0" w:tplc="32F2F2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5"/>
  </w:num>
  <w:num w:numId="4">
    <w:abstractNumId w:val="18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23"/>
  </w:num>
  <w:num w:numId="10">
    <w:abstractNumId w:val="41"/>
  </w:num>
  <w:num w:numId="11">
    <w:abstractNumId w:val="33"/>
  </w:num>
  <w:num w:numId="12">
    <w:abstractNumId w:val="20"/>
  </w:num>
  <w:num w:numId="13">
    <w:abstractNumId w:val="25"/>
  </w:num>
  <w:num w:numId="14">
    <w:abstractNumId w:val="16"/>
  </w:num>
  <w:num w:numId="15">
    <w:abstractNumId w:val="12"/>
  </w:num>
  <w:num w:numId="16">
    <w:abstractNumId w:val="13"/>
  </w:num>
  <w:num w:numId="17">
    <w:abstractNumId w:val="22"/>
  </w:num>
  <w:num w:numId="18">
    <w:abstractNumId w:val="39"/>
  </w:num>
  <w:num w:numId="19">
    <w:abstractNumId w:val="29"/>
  </w:num>
  <w:num w:numId="20">
    <w:abstractNumId w:val="42"/>
  </w:num>
  <w:num w:numId="21">
    <w:abstractNumId w:val="27"/>
  </w:num>
  <w:num w:numId="22">
    <w:abstractNumId w:val="43"/>
  </w:num>
  <w:num w:numId="23">
    <w:abstractNumId w:val="19"/>
  </w:num>
  <w:num w:numId="24">
    <w:abstractNumId w:val="0"/>
  </w:num>
  <w:num w:numId="25">
    <w:abstractNumId w:val="21"/>
  </w:num>
  <w:num w:numId="26">
    <w:abstractNumId w:val="35"/>
  </w:num>
  <w:num w:numId="27">
    <w:abstractNumId w:val="8"/>
  </w:num>
  <w:num w:numId="28">
    <w:abstractNumId w:val="38"/>
  </w:num>
  <w:num w:numId="29">
    <w:abstractNumId w:val="44"/>
  </w:num>
  <w:num w:numId="30">
    <w:abstractNumId w:val="14"/>
  </w:num>
  <w:num w:numId="31">
    <w:abstractNumId w:val="36"/>
  </w:num>
  <w:num w:numId="32">
    <w:abstractNumId w:val="15"/>
  </w:num>
  <w:num w:numId="33">
    <w:abstractNumId w:val="32"/>
  </w:num>
  <w:num w:numId="34">
    <w:abstractNumId w:val="7"/>
  </w:num>
  <w:num w:numId="35">
    <w:abstractNumId w:val="40"/>
  </w:num>
  <w:num w:numId="36">
    <w:abstractNumId w:val="4"/>
  </w:num>
  <w:num w:numId="37">
    <w:abstractNumId w:val="30"/>
  </w:num>
  <w:num w:numId="38">
    <w:abstractNumId w:val="2"/>
  </w:num>
  <w:num w:numId="39">
    <w:abstractNumId w:val="24"/>
  </w:num>
  <w:num w:numId="40">
    <w:abstractNumId w:val="17"/>
  </w:num>
  <w:num w:numId="41">
    <w:abstractNumId w:val="28"/>
  </w:num>
  <w:num w:numId="42">
    <w:abstractNumId w:val="34"/>
  </w:num>
  <w:num w:numId="43">
    <w:abstractNumId w:val="3"/>
  </w:num>
  <w:num w:numId="44">
    <w:abstractNumId w:val="6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404DF"/>
    <w:rsid w:val="00051B35"/>
    <w:rsid w:val="000716EA"/>
    <w:rsid w:val="000807E5"/>
    <w:rsid w:val="00083060"/>
    <w:rsid w:val="000835F9"/>
    <w:rsid w:val="000859C1"/>
    <w:rsid w:val="00090D26"/>
    <w:rsid w:val="000C3B4C"/>
    <w:rsid w:val="000E01DB"/>
    <w:rsid w:val="000F1D81"/>
    <w:rsid w:val="000F1E07"/>
    <w:rsid w:val="00106D67"/>
    <w:rsid w:val="001278DF"/>
    <w:rsid w:val="00135094"/>
    <w:rsid w:val="001355E3"/>
    <w:rsid w:val="00137DAC"/>
    <w:rsid w:val="00146F80"/>
    <w:rsid w:val="00152CD3"/>
    <w:rsid w:val="00156A14"/>
    <w:rsid w:val="00160A93"/>
    <w:rsid w:val="0018415F"/>
    <w:rsid w:val="00185F88"/>
    <w:rsid w:val="001A2ABE"/>
    <w:rsid w:val="001D14D4"/>
    <w:rsid w:val="001D7F88"/>
    <w:rsid w:val="001E3060"/>
    <w:rsid w:val="001E3A85"/>
    <w:rsid w:val="00202F83"/>
    <w:rsid w:val="00212B9B"/>
    <w:rsid w:val="00213D58"/>
    <w:rsid w:val="002156AB"/>
    <w:rsid w:val="0022737A"/>
    <w:rsid w:val="00230FA7"/>
    <w:rsid w:val="00250993"/>
    <w:rsid w:val="0025147E"/>
    <w:rsid w:val="002517D1"/>
    <w:rsid w:val="00261B0F"/>
    <w:rsid w:val="002634E4"/>
    <w:rsid w:val="002641D0"/>
    <w:rsid w:val="0027045F"/>
    <w:rsid w:val="00284CB4"/>
    <w:rsid w:val="00292668"/>
    <w:rsid w:val="00294711"/>
    <w:rsid w:val="002B2F27"/>
    <w:rsid w:val="002B4A40"/>
    <w:rsid w:val="002C21BB"/>
    <w:rsid w:val="002C2672"/>
    <w:rsid w:val="002E0D04"/>
    <w:rsid w:val="002F5764"/>
    <w:rsid w:val="002F778E"/>
    <w:rsid w:val="00303A2F"/>
    <w:rsid w:val="003110E9"/>
    <w:rsid w:val="00313D4E"/>
    <w:rsid w:val="00325E1C"/>
    <w:rsid w:val="00333264"/>
    <w:rsid w:val="003655F1"/>
    <w:rsid w:val="00366491"/>
    <w:rsid w:val="003719E9"/>
    <w:rsid w:val="00386236"/>
    <w:rsid w:val="00394DF0"/>
    <w:rsid w:val="003B222C"/>
    <w:rsid w:val="003B36D6"/>
    <w:rsid w:val="003D0017"/>
    <w:rsid w:val="003D30B2"/>
    <w:rsid w:val="003E250B"/>
    <w:rsid w:val="003F1A50"/>
    <w:rsid w:val="00405201"/>
    <w:rsid w:val="00411371"/>
    <w:rsid w:val="00432044"/>
    <w:rsid w:val="004439A8"/>
    <w:rsid w:val="0045695E"/>
    <w:rsid w:val="00482548"/>
    <w:rsid w:val="004929DC"/>
    <w:rsid w:val="00496BE8"/>
    <w:rsid w:val="004A2FE5"/>
    <w:rsid w:val="004B1290"/>
    <w:rsid w:val="004B48A3"/>
    <w:rsid w:val="004B676C"/>
    <w:rsid w:val="004C2E3C"/>
    <w:rsid w:val="004D0B83"/>
    <w:rsid w:val="004D2AB9"/>
    <w:rsid w:val="004E0AEB"/>
    <w:rsid w:val="004E34C0"/>
    <w:rsid w:val="004E3B4E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6FF0"/>
    <w:rsid w:val="005401D3"/>
    <w:rsid w:val="00553A20"/>
    <w:rsid w:val="00572FC5"/>
    <w:rsid w:val="005A0640"/>
    <w:rsid w:val="005A5FEC"/>
    <w:rsid w:val="005C04C3"/>
    <w:rsid w:val="005C24D4"/>
    <w:rsid w:val="005C564B"/>
    <w:rsid w:val="005E4060"/>
    <w:rsid w:val="00602FCF"/>
    <w:rsid w:val="00613622"/>
    <w:rsid w:val="006223B5"/>
    <w:rsid w:val="0062427F"/>
    <w:rsid w:val="006375EC"/>
    <w:rsid w:val="00657CF9"/>
    <w:rsid w:val="00664031"/>
    <w:rsid w:val="00667101"/>
    <w:rsid w:val="00681790"/>
    <w:rsid w:val="00685B34"/>
    <w:rsid w:val="00692E17"/>
    <w:rsid w:val="00692F67"/>
    <w:rsid w:val="006A0EA2"/>
    <w:rsid w:val="006A7F5B"/>
    <w:rsid w:val="006C0EAF"/>
    <w:rsid w:val="006D1FDF"/>
    <w:rsid w:val="006D340F"/>
    <w:rsid w:val="006D62B5"/>
    <w:rsid w:val="006E1086"/>
    <w:rsid w:val="006F02A6"/>
    <w:rsid w:val="006F107A"/>
    <w:rsid w:val="00731D65"/>
    <w:rsid w:val="007360D2"/>
    <w:rsid w:val="0073787A"/>
    <w:rsid w:val="00741EF8"/>
    <w:rsid w:val="00757278"/>
    <w:rsid w:val="00767758"/>
    <w:rsid w:val="0078184D"/>
    <w:rsid w:val="00795E52"/>
    <w:rsid w:val="007A3748"/>
    <w:rsid w:val="007B30DD"/>
    <w:rsid w:val="007D0374"/>
    <w:rsid w:val="007D3052"/>
    <w:rsid w:val="007D7EB1"/>
    <w:rsid w:val="007F0A32"/>
    <w:rsid w:val="007F1D55"/>
    <w:rsid w:val="007F619F"/>
    <w:rsid w:val="008026B7"/>
    <w:rsid w:val="00803A86"/>
    <w:rsid w:val="00810EC0"/>
    <w:rsid w:val="00812423"/>
    <w:rsid w:val="00812EBB"/>
    <w:rsid w:val="0083610B"/>
    <w:rsid w:val="00841D53"/>
    <w:rsid w:val="00842DC1"/>
    <w:rsid w:val="00843AA7"/>
    <w:rsid w:val="00846D1D"/>
    <w:rsid w:val="0087444A"/>
    <w:rsid w:val="00890B60"/>
    <w:rsid w:val="00893106"/>
    <w:rsid w:val="008A22DF"/>
    <w:rsid w:val="008A663E"/>
    <w:rsid w:val="008A72C9"/>
    <w:rsid w:val="008A7AAA"/>
    <w:rsid w:val="008B010E"/>
    <w:rsid w:val="008B1334"/>
    <w:rsid w:val="008C7A70"/>
    <w:rsid w:val="008D1E96"/>
    <w:rsid w:val="008D409A"/>
    <w:rsid w:val="008D43A7"/>
    <w:rsid w:val="008D54B0"/>
    <w:rsid w:val="008F0B4B"/>
    <w:rsid w:val="008F3C32"/>
    <w:rsid w:val="00907502"/>
    <w:rsid w:val="00912E22"/>
    <w:rsid w:val="00930B39"/>
    <w:rsid w:val="0093289C"/>
    <w:rsid w:val="00934B6A"/>
    <w:rsid w:val="0094043B"/>
    <w:rsid w:val="00940938"/>
    <w:rsid w:val="00973FDE"/>
    <w:rsid w:val="00985AE0"/>
    <w:rsid w:val="00987CAD"/>
    <w:rsid w:val="00991698"/>
    <w:rsid w:val="00996957"/>
    <w:rsid w:val="0099716C"/>
    <w:rsid w:val="009A474E"/>
    <w:rsid w:val="009A6E05"/>
    <w:rsid w:val="009B600A"/>
    <w:rsid w:val="009C567A"/>
    <w:rsid w:val="009E0243"/>
    <w:rsid w:val="009F1CB7"/>
    <w:rsid w:val="00A02B48"/>
    <w:rsid w:val="00A0681C"/>
    <w:rsid w:val="00A13928"/>
    <w:rsid w:val="00A23A39"/>
    <w:rsid w:val="00A25431"/>
    <w:rsid w:val="00A26276"/>
    <w:rsid w:val="00A344BB"/>
    <w:rsid w:val="00A36F2F"/>
    <w:rsid w:val="00A65A52"/>
    <w:rsid w:val="00A73C73"/>
    <w:rsid w:val="00A80AA9"/>
    <w:rsid w:val="00A92BDB"/>
    <w:rsid w:val="00AB2C79"/>
    <w:rsid w:val="00AB3F49"/>
    <w:rsid w:val="00AB4F9C"/>
    <w:rsid w:val="00AB7585"/>
    <w:rsid w:val="00AC3F42"/>
    <w:rsid w:val="00AC401C"/>
    <w:rsid w:val="00AD092F"/>
    <w:rsid w:val="00AE0ABB"/>
    <w:rsid w:val="00AE38CD"/>
    <w:rsid w:val="00AF32C2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6E05"/>
    <w:rsid w:val="00B57C82"/>
    <w:rsid w:val="00B61410"/>
    <w:rsid w:val="00B6384A"/>
    <w:rsid w:val="00B7676D"/>
    <w:rsid w:val="00B767AE"/>
    <w:rsid w:val="00BB0429"/>
    <w:rsid w:val="00BD352C"/>
    <w:rsid w:val="00BD5D9E"/>
    <w:rsid w:val="00BE6FBA"/>
    <w:rsid w:val="00BE7B02"/>
    <w:rsid w:val="00BF7245"/>
    <w:rsid w:val="00C067FB"/>
    <w:rsid w:val="00C07D9D"/>
    <w:rsid w:val="00C141D0"/>
    <w:rsid w:val="00C17E88"/>
    <w:rsid w:val="00C22CB0"/>
    <w:rsid w:val="00C33165"/>
    <w:rsid w:val="00C35333"/>
    <w:rsid w:val="00C41BDF"/>
    <w:rsid w:val="00C44408"/>
    <w:rsid w:val="00C50F14"/>
    <w:rsid w:val="00C6627D"/>
    <w:rsid w:val="00C70A69"/>
    <w:rsid w:val="00C7150C"/>
    <w:rsid w:val="00C81500"/>
    <w:rsid w:val="00C82A26"/>
    <w:rsid w:val="00C9025B"/>
    <w:rsid w:val="00C90D29"/>
    <w:rsid w:val="00C91754"/>
    <w:rsid w:val="00C967CB"/>
    <w:rsid w:val="00CC1E50"/>
    <w:rsid w:val="00CC3D45"/>
    <w:rsid w:val="00CC5992"/>
    <w:rsid w:val="00CC7F7E"/>
    <w:rsid w:val="00CD5678"/>
    <w:rsid w:val="00CF048C"/>
    <w:rsid w:val="00D02589"/>
    <w:rsid w:val="00D069F3"/>
    <w:rsid w:val="00D125D5"/>
    <w:rsid w:val="00D20139"/>
    <w:rsid w:val="00D23A98"/>
    <w:rsid w:val="00D31A48"/>
    <w:rsid w:val="00D3505D"/>
    <w:rsid w:val="00D4111A"/>
    <w:rsid w:val="00D43661"/>
    <w:rsid w:val="00D43EC0"/>
    <w:rsid w:val="00D45222"/>
    <w:rsid w:val="00D560DE"/>
    <w:rsid w:val="00D57E7C"/>
    <w:rsid w:val="00D600FD"/>
    <w:rsid w:val="00D73F9A"/>
    <w:rsid w:val="00D83318"/>
    <w:rsid w:val="00D96906"/>
    <w:rsid w:val="00DA1CAC"/>
    <w:rsid w:val="00DB38D1"/>
    <w:rsid w:val="00DB6873"/>
    <w:rsid w:val="00DC30E8"/>
    <w:rsid w:val="00DC3285"/>
    <w:rsid w:val="00DC7EED"/>
    <w:rsid w:val="00DD49E8"/>
    <w:rsid w:val="00DD583E"/>
    <w:rsid w:val="00DD6A70"/>
    <w:rsid w:val="00DE1DAA"/>
    <w:rsid w:val="00DE3C3C"/>
    <w:rsid w:val="00DF6CC4"/>
    <w:rsid w:val="00E03F1D"/>
    <w:rsid w:val="00E060B2"/>
    <w:rsid w:val="00E117E2"/>
    <w:rsid w:val="00E1515D"/>
    <w:rsid w:val="00E15C03"/>
    <w:rsid w:val="00E2157F"/>
    <w:rsid w:val="00E25F32"/>
    <w:rsid w:val="00E463B9"/>
    <w:rsid w:val="00E647B3"/>
    <w:rsid w:val="00E70908"/>
    <w:rsid w:val="00E71515"/>
    <w:rsid w:val="00E72CFB"/>
    <w:rsid w:val="00E76CA5"/>
    <w:rsid w:val="00E82ABC"/>
    <w:rsid w:val="00E86E8B"/>
    <w:rsid w:val="00E91070"/>
    <w:rsid w:val="00E97840"/>
    <w:rsid w:val="00EA4E12"/>
    <w:rsid w:val="00EC6100"/>
    <w:rsid w:val="00ED51B9"/>
    <w:rsid w:val="00ED6FB5"/>
    <w:rsid w:val="00EF153B"/>
    <w:rsid w:val="00EF59AF"/>
    <w:rsid w:val="00F008AB"/>
    <w:rsid w:val="00F01948"/>
    <w:rsid w:val="00F067E4"/>
    <w:rsid w:val="00F16AC0"/>
    <w:rsid w:val="00F20E67"/>
    <w:rsid w:val="00F2533D"/>
    <w:rsid w:val="00F30698"/>
    <w:rsid w:val="00F32DE1"/>
    <w:rsid w:val="00F41E73"/>
    <w:rsid w:val="00F45D11"/>
    <w:rsid w:val="00F46BDF"/>
    <w:rsid w:val="00F5440D"/>
    <w:rsid w:val="00F57654"/>
    <w:rsid w:val="00F706EC"/>
    <w:rsid w:val="00F8219F"/>
    <w:rsid w:val="00FB337E"/>
    <w:rsid w:val="00FC597B"/>
    <w:rsid w:val="00FD5540"/>
    <w:rsid w:val="00FF29E4"/>
    <w:rsid w:val="00FF44E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178</cp:revision>
  <cp:lastPrinted>2019-06-10T08:54:00Z</cp:lastPrinted>
  <dcterms:created xsi:type="dcterms:W3CDTF">2021-10-09T12:11:00Z</dcterms:created>
  <dcterms:modified xsi:type="dcterms:W3CDTF">2021-11-24T08:48:00Z</dcterms:modified>
</cp:coreProperties>
</file>